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left"/>
        <w:tblInd w:w="-104" w:type="dxa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079"/>
        <w:gridCol w:w="986"/>
        <w:gridCol w:w="481"/>
        <w:gridCol w:w="2116"/>
        <w:gridCol w:w="150"/>
        <w:gridCol w:w="2994"/>
        <w:gridCol w:w="761"/>
        <w:gridCol w:w="141"/>
      </w:tblGrid>
      <w:tr>
        <w:trPr>
          <w:trHeight w:val="336"/>
        </w:trPr>
        <w:tc>
          <w:tcPr>
            <w:tcW w:w="947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eastAsia="黑体" w:cs="Times New Roman Regular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cs="Times New Roman Regular" w:hint="eastAsia"/>
                <w:color w:val="000000"/>
                <w:kern w:val="0"/>
                <w:sz w:val="32"/>
                <w:szCs w:val="32"/>
              </w:rPr>
              <w:t>附件</w:t>
            </w:r>
            <w:bookmarkStart w:id="0" w:name="_GoBack"/>
            <w:bookmarkEnd w:id="0"/>
          </w:p>
          <w:p>
            <w:pPr>
              <w:widowControl/>
              <w:jc w:val="left"/>
              <w:textAlignment w:val="center"/>
              <w:rPr>
                <w:rFonts w:ascii="黑体" w:eastAsia="黑体" w:cs="Times New Roman Regular" w:hint="eastAsia"/>
                <w:color w:val="000000"/>
                <w:kern w:val="0"/>
                <w:sz w:val="11"/>
                <w:szCs w:val="11"/>
              </w:rPr>
            </w:pPr>
          </w:p>
        </w:tc>
      </w:tr>
      <w:tr>
        <w:trPr>
          <w:trHeight w:val="520"/>
          <w:gridAfter w:val="1"/>
          <w:wAfter w:w="141" w:type="dxa"/>
        </w:trPr>
        <w:tc>
          <w:tcPr>
            <w:tcW w:w="93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eastAsia="方正小标宋简体" w:cs="黑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44"/>
                <w:szCs w:val="44"/>
              </w:rPr>
              <w:t>2024年市级部门整体支出绩效评价指标体系</w:t>
            </w:r>
          </w:p>
        </w:tc>
      </w:tr>
      <w:tr>
        <w:trPr>
          <w:trHeight w:val="560"/>
          <w:gridAfter w:val="1"/>
          <w:wAfter w:w="141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color w:val="000000"/>
                <w:kern w:val="0"/>
                <w:sz w:val="18"/>
                <w:szCs w:val="18"/>
              </w:rPr>
              <w:t>一级　指标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color w:val="000000"/>
                <w:kern w:val="0"/>
                <w:sz w:val="18"/>
                <w:szCs w:val="18"/>
              </w:rPr>
              <w:t>评价内容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color w:val="000000"/>
                <w:kern w:val="0"/>
                <w:sz w:val="18"/>
                <w:szCs w:val="18"/>
              </w:rPr>
              <w:t>评价标准及计算方法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color w:val="000000"/>
                <w:kern w:val="0"/>
                <w:sz w:val="18"/>
                <w:szCs w:val="18"/>
              </w:rPr>
              <w:t>评价得分</w:t>
            </w:r>
          </w:p>
        </w:tc>
      </w:tr>
      <w:tr>
        <w:trPr>
          <w:trHeight w:val="336"/>
          <w:gridAfter w:val="1"/>
          <w:wAfter w:w="141" w:type="dxa"/>
        </w:trPr>
        <w:tc>
          <w:tcPr>
            <w:tcW w:w="85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color w:val="000000"/>
                <w:kern w:val="0"/>
                <w:sz w:val="18"/>
                <w:szCs w:val="18"/>
              </w:rPr>
              <w:t>评价得分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jc w:val="center"/>
              <w:rPr>
                <w:rFonts w:ascii="方正仿宋简体" w:eastAsia="方正仿宋简体" w:cs="方正仿宋简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cs="方正仿宋简体" w:hint="eastAsia"/>
                <w:b/>
                <w:bCs/>
                <w:color w:val="000000"/>
                <w:sz w:val="18"/>
                <w:szCs w:val="18"/>
              </w:rPr>
              <w:t>96</w:t>
            </w:r>
          </w:p>
        </w:tc>
      </w:tr>
      <w:tr>
        <w:trPr>
          <w:trHeight w:val="680"/>
          <w:gridAfter w:val="1"/>
          <w:wAfter w:w="141" w:type="dxa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基础工作管理（15分）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组织机构完善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岗位设置合理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成立各种相应的组织机构及机构合理性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成立相应组织机构、内控岗位设置合理得2分，组织机构不健全、内控岗位设置不合理相应扣分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67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管理制度完善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内控制度建立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包括制定财政资金管理办法、内控制度，会计核算制度等管理制度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管理制度完善2分，制度不够完善相应扣分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2</w:t>
            </w:r>
          </w:p>
        </w:tc>
      </w:tr>
      <w:tr>
        <w:trPr>
          <w:trHeight w:val="58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内控制度合规性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部门制定的管理制度合法、合规、完整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制度合法、合规、完整2分，反之相应扣分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2</w:t>
            </w:r>
          </w:p>
        </w:tc>
      </w:tr>
      <w:tr>
        <w:trPr>
          <w:trHeight w:val="56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内控制度执行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部门制定的内控制度得到有效执行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有效执行2分，未能有效执行相应扣分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1.5</w:t>
            </w:r>
          </w:p>
        </w:tc>
      </w:tr>
      <w:tr>
        <w:trPr>
          <w:trHeight w:val="56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指标体系完善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指标体系完善程度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部门制定项目预算支出评价个性指标体系健全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个性指标体系健全2分，指标体系不够健全相应扣分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2</w:t>
            </w:r>
          </w:p>
        </w:tc>
      </w:tr>
      <w:tr>
        <w:trPr>
          <w:trHeight w:val="49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宣传培训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宣传培训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部门对绩效评价工作开展的宣传培训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开展了宣传培训1分，未能开展宣传培训相应扣分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52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会计核算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会计核算及时性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会计核算及时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会计核算及时，日清月结的得1分，核算不及时的相应扣分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74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会计核算规范性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会计核算规范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会计核算规范、科目使用准确、原始发票及附件充分、分项目核算的得2分，否则相应扣分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1.5</w:t>
            </w:r>
          </w:p>
        </w:tc>
      </w:tr>
      <w:tr>
        <w:trPr>
          <w:trHeight w:val="46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会计档案管理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会计档案规范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会计档案整理规范的得1分，不规范的相应扣分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710"/>
          <w:gridAfter w:val="1"/>
          <w:wAfter w:w="141" w:type="dxa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绩效目标管理（15分）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绩效目标合理性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合规性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绩效目标管理符合国家法律法规、国民经济和社会发展总体规划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绩效目标符合相关法规和总体规划1分，绩效目标不够合理的相应扣分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2</w:t>
            </w:r>
          </w:p>
        </w:tc>
      </w:tr>
      <w:tr>
        <w:trPr>
          <w:trHeight w:val="56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与工作衔接度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绩效目标符合部门“三定”方案确定的职责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绩效目标符合部分“三定”方案1分，不符合相应扣分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71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与中长期规划衔接度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绩效目标符合部门制定的中长期规划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绩效目标符合部门制定的中长期规划1分，不符合相应扣分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73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绩效目标覆盖率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绩效目标覆盖率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部门绩效目标覆盖率达到年度预算布置的要求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绩效目标覆盖率＝实际申报绩效目标项目资金额/部门项目预算资金总额×100%。每低于10个百分点扣1分，扣完为止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5</w:t>
            </w:r>
          </w:p>
        </w:tc>
      </w:tr>
      <w:tr>
        <w:trPr>
          <w:trHeight w:val="56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绩效指标明确性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绩效指标完整性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绩效目标申报表的填写完整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申报表填写完整2分，不完整相应扣分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2</w:t>
            </w:r>
          </w:p>
        </w:tc>
      </w:tr>
      <w:tr>
        <w:trPr>
          <w:trHeight w:val="56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绩效指标操作性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绩效指标设置清晰、可衡量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绩效指标设置清晰、可衡量2分，反之相应扣分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2</w:t>
            </w:r>
          </w:p>
        </w:tc>
      </w:tr>
      <w:tr>
        <w:trPr>
          <w:trHeight w:val="56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与预算资金匹配度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 xml:space="preserve">绩效指标与本年度部门预算资金相匹配 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绩效指标与资金相匹配2分，不完全匹配相应扣分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2</w:t>
            </w:r>
          </w:p>
        </w:tc>
      </w:tr>
      <w:tr>
        <w:trPr>
          <w:trHeight w:val="1200"/>
          <w:gridAfter w:val="1"/>
          <w:wAfter w:w="141" w:type="dxa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绩效运行监控（15分）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预算完成率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部门预算支出完成率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部门预算支出完成程度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预算完成率＝[年度支出完成数/年度支出预算数（含调整预算及结转结余）]×100%。跨年度项目按工程进度或平均年度额分析计算。预算完成率90%及以上得2分。每低于要求5个百分点扣1分，扣完为止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114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项目预算执行率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部门预算项目执行率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部门项目预算执行调整程度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项目预算执行率＝[年度项目实际支出数/项目预算数（含调整预算及结转结余）]×100%。跨年度项目按工程进度或平均年度额分析计算。预算执行偏差度在10%以内的得2分，每超过5个百分点扣1分，扣完为止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2</w:t>
            </w:r>
          </w:p>
        </w:tc>
      </w:tr>
      <w:tr>
        <w:trPr>
          <w:trHeight w:val="91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政府采购监管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预算执行率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部门政府采购预算执行情况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政府采购执行率=[实际政府采购金额/政府采购预算数（含调整预算）]×100%。政府采购预算执行偏差度在10%以内得1分，超过的不得分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49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财政审批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部门政府采购财政审批情况　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应政府采购未采购的每发生一起扣0.5分，扣完该项得分为止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39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政府采购合规性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部门政府采购合规性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存在政府采购违规行为的该项不得分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103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 xml:space="preserve">三公经费控制率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三公经费控制率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部门“三公经费”控制程度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“三公经费”控制率＝（“三公经费”实际支出数/“三公经费”预算数）×100%。“三公经费”控制率≤100%的得3分，每高于要求2个百分点扣1分，扣完为止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3</w:t>
            </w:r>
          </w:p>
        </w:tc>
      </w:tr>
      <w:tr>
        <w:trPr>
          <w:trHeight w:val="71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资产管理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资产管理信息系统建设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部门资产管理信息系统建设情况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考核部门和单位将国有资产纳入资产信息系统管理情况,已建好部门资产管理信息系统得1分，未建好不得分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75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资产清核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部门资产清理核实开展情况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考核部门和单位已按要求及时、真实、准确、全面开展资产清查、核实情况得1分，反之不得分；账实不合的按比例扣分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71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日常管理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部门资产登记、上报及管理情况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考核部门和单位已经对国有资产登记、上报，并出台管理办法、制度等措施得1分，差项按比例得分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56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预决算信息公开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预算信息公开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按规定内容、时限公开预算信息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按规定公开预算信息得1分，未按规定公开相应扣减分数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56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决算信息公开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按规定内容、时限公开决算信息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按规定公开决算信息得1分，未按规定公开相应扣减分数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1</w:t>
            </w:r>
          </w:p>
        </w:tc>
      </w:tr>
      <w:tr>
        <w:trPr>
          <w:trHeight w:val="1049"/>
          <w:gridAfter w:val="1"/>
          <w:wAfter w:w="141" w:type="dxa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绩效评价实施（15分）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部门项目自评率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部门项目自评率　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部门实施绩效评价项目覆盖情况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项目自评率＝自评项目数/项目总数×100%。按项目自评率得分（部门整体支出自评中列示项目的视为已自评）。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5</w:t>
            </w:r>
          </w:p>
        </w:tc>
      </w:tr>
      <w:tr>
        <w:trPr>
          <w:trHeight w:val="110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 xml:space="preserve">资金评价覆盖率 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 xml:space="preserve">资金评价覆盖率 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部门绩效评价项目资金覆盖情况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项目资金覆盖率=实施绩效评价项目资金额/部门项目预算资金总额×100%。绩效评价资金覆盖率100%得5分；每低于要求10个百分点扣1分，扣完为止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5</w:t>
            </w:r>
          </w:p>
        </w:tc>
      </w:tr>
      <w:tr>
        <w:trPr>
          <w:trHeight w:val="56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 xml:space="preserve">评价质量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 xml:space="preserve">评价质量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部门绩效评价质量情况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根据评价工作开展情况、评价报告质量、资料收集情况等综合评分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5</w:t>
            </w:r>
          </w:p>
        </w:tc>
      </w:tr>
      <w:tr>
        <w:trPr>
          <w:trHeight w:val="820"/>
          <w:gridAfter w:val="1"/>
          <w:wAfter w:w="141" w:type="dxa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评价结　果应用　　（15分）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绩效信息公开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绩效信息公开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绩效信息公开情况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按《巴中市市级预算绩效信息公开规程》规定公开绩效信息的得3分，未按规定公开相应扣分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3</w:t>
            </w:r>
          </w:p>
        </w:tc>
      </w:tr>
      <w:tr>
        <w:trPr>
          <w:trHeight w:val="82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绩效管理问题整改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绩效管理问题整改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绩效管理问题整改情况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上年绩效评价发现的问题全面整改到位的得3分，没有全面整改到位的按比例得分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3</w:t>
            </w:r>
          </w:p>
        </w:tc>
      </w:tr>
      <w:tr>
        <w:trPr>
          <w:trHeight w:val="82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其他监督检查问题整改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其他监督检查问题整改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其他监督检查问题整改情况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各级巡视巡察、纪检监察、审计、财政监督检查等发现问题全面整改到位的得3分，没有全面整改到位的按比例得分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3</w:t>
            </w:r>
          </w:p>
        </w:tc>
      </w:tr>
      <w:tr>
        <w:trPr>
          <w:trHeight w:val="61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监督管理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绩效问责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按规定实施绩效问责情况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按规定实施绩效问责得3分，未按规定实施绩效问责相应扣分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3</w:t>
            </w:r>
          </w:p>
        </w:tc>
      </w:tr>
      <w:tr>
        <w:trPr>
          <w:trHeight w:val="70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项目及资金调整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项目及资金调整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根据绩效评价结果调整下年项目及金额情况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根据上年度绩效评价结果调整下年度项目及金额的得3分，未按规定调整的相应扣分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3</w:t>
            </w:r>
          </w:p>
        </w:tc>
      </w:tr>
      <w:tr>
        <w:trPr>
          <w:trHeight w:val="975"/>
          <w:gridAfter w:val="1"/>
          <w:wAfter w:w="141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项目支出绩效管理（25分）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项目支出绩效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部门实施项目支出评价情况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5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按百分制形成的项目支出绩效评价分数换算成此项指标得分。有两个及以上专项预算项目的，以平均分作为得分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24</w:t>
            </w:r>
          </w:p>
        </w:tc>
      </w:tr>
      <w:tr>
        <w:trPr>
          <w:trHeight w:val="560"/>
          <w:gridAfter w:val="1"/>
          <w:wAfter w:w="141" w:type="dxa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绩效管理创新(+5分)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管理制度创新　　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在绩效管理制度有创新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在绩效管理制度有创新或者发表相关研究文章的相应得分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0</w:t>
            </w:r>
          </w:p>
        </w:tc>
      </w:tr>
      <w:tr>
        <w:trPr>
          <w:trHeight w:val="560"/>
          <w:gridAfter w:val="1"/>
          <w:wAfter w:w="141" w:type="dxa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工作推进创新　　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在工作推进中有创新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在推进自我评价、配合重点评价、完善个性指标体系方面的创新的相应得分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0</w:t>
            </w:r>
          </w:p>
        </w:tc>
      </w:tr>
      <w:tr>
        <w:trPr>
          <w:trHeight w:val="1100"/>
          <w:gridAfter w:val="1"/>
          <w:wAfter w:w="141" w:type="dxa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监督发现问题 (-5分)</w:t>
            </w:r>
          </w:p>
        </w:tc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违规问题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-5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部门或个人存在违反财政监督管理等情况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各级巡视巡察、纪检监察、审计、财政监督检查等发现财政管理问题的，每发现一类问题扣1分（多个部门发现的同类问题不重复扣分），涉及金额或社会影响较大的扣2-5分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0</w:t>
            </w:r>
          </w:p>
        </w:tc>
      </w:tr>
      <w:tr>
        <w:trPr>
          <w:trHeight w:val="720"/>
          <w:gridAfter w:val="1"/>
          <w:wAfter w:w="141" w:type="dxa"/>
        </w:trPr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扣分项（-5分）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-5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被评价单位配合评价工作情况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财政重点评价过程中，发现评价对像拖延推诿、提交资料不及时等不配合评价工作的，经报市财政局确认后每次扣1分，最高扣5分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 w:hint="eastAsia"/>
                <w:color w:val="000000"/>
                <w:sz w:val="18"/>
                <w:szCs w:val="18"/>
              </w:rPr>
              <w:t>0</w:t>
            </w:r>
          </w:p>
        </w:tc>
      </w:tr>
      <w:tr>
        <w:trPr>
          <w:trHeight w:val="445"/>
          <w:gridAfter w:val="1"/>
          <w:wAfter w:w="141" w:type="dxa"/>
        </w:trPr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8"/>
                <w:szCs w:val="18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8"/>
                <w:szCs w:val="18"/>
              </w:rPr>
              <w:t>评价结论</w:t>
            </w:r>
          </w:p>
        </w:tc>
        <w:tc>
          <w:tcPr>
            <w:tcW w:w="7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 Regular" w:eastAsia="方正仿宋简体" w:cs="Times New Roman Regular" w:hAnsi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方正仿宋简体" w:cs="Times New Roman Regular" w:hAnsi="Times New Roman Regular"/>
                <w:color w:val="000000"/>
                <w:kern w:val="0"/>
                <w:sz w:val="15"/>
                <w:szCs w:val="16"/>
              </w:rPr>
              <w:t>96 优秀</w:t>
            </w:r>
          </w:p>
        </w:tc>
      </w:tr>
    </w:tbl>
    <w:p>
      <w:pPr>
        <w:spacing w:line="580" w:lineRule="exact"/>
        <w:rPr>
          <w:rFonts w:ascii="Times New Roman Regular" w:eastAsia="方正黑体简体" w:cs="Times New Roman Regular" w:hAnsi="Times New Roman Regular"/>
          <w:sz w:val="32"/>
          <w:szCs w:val="32"/>
        </w:rPr>
      </w:pPr>
    </w:p>
    <w:p>
      <w:pPr>
        <w:spacing w:line="580" w:lineRule="exact"/>
        <w:rPr>
          <w:rFonts w:ascii="Times New Roman Regular" w:eastAsia="方正黑体简体" w:cs="Times New Roman Regular" w:hAnsi="Times New Roman Regular"/>
          <w:sz w:val="32"/>
          <w:szCs w:val="32"/>
        </w:rPr>
      </w:pPr>
    </w:p>
    <w:p>
      <w:pPr>
        <w:spacing w:line="580" w:lineRule="exact"/>
        <w:rPr>
          <w:rFonts w:ascii="Times New Roman Regular" w:eastAsia="方正黑体简体" w:cs="Times New Roman Regular" w:hAnsi="Times New Roman Regular"/>
          <w:sz w:val="32"/>
          <w:szCs w:val="32"/>
        </w:rPr>
      </w:pPr>
    </w:p>
    <w:p>
      <w:pPr>
        <w:spacing w:line="580" w:lineRule="exact"/>
        <w:rPr>
          <w:rFonts w:ascii="Times New Roman Regular" w:eastAsia="方正黑体简体" w:cs="Times New Roman Regular" w:hAnsi="Times New Roman Regular"/>
          <w:sz w:val="32"/>
          <w:szCs w:val="32"/>
        </w:rPr>
      </w:pPr>
    </w:p>
    <w:p>
      <w:pPr>
        <w:spacing w:line="580" w:lineRule="exact"/>
        <w:rPr>
          <w:rFonts w:ascii="Times New Roman Regular" w:eastAsia="方正黑体简体" w:cs="Times New Roman Regular" w:hAnsi="Times New Roman Regular"/>
          <w:sz w:val="32"/>
          <w:szCs w:val="32"/>
        </w:rPr>
      </w:pPr>
    </w:p>
    <w:p>
      <w:pPr>
        <w:spacing w:line="580" w:lineRule="exact"/>
        <w:rPr>
          <w:rFonts w:ascii="Times New Roman Regular" w:eastAsia="方正黑体简体" w:cs="Times New Roman Regular" w:hAnsi="Times New Roman Regular"/>
          <w:sz w:val="32"/>
          <w:szCs w:val="32"/>
        </w:rPr>
      </w:pPr>
    </w:p>
    <w:p>
      <w:pPr>
        <w:spacing w:line="580" w:lineRule="exact"/>
        <w:rPr>
          <w:rFonts w:ascii="Times New Roman Regular" w:eastAsia="方正黑体简体" w:cs="Times New Roman Regular" w:hAnsi="Times New Roman Regular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variable"/>
    <w:sig w:usb0="00000000" w:usb1="00000000" w:usb2="00000000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variable"/>
    <w:sig w:usb0="00000001" w:usb1="080E0000" w:usb2="00000000" w:usb3="00000000" w:csb0="00040000" w:csb1="00000000"/>
  </w:font>
  <w:font w:name="方正黑体简体">
    <w:altName w:val="宋体"/>
    <w:panose1 w:val="00000000000000000000"/>
    <w:charset w:val="86"/>
    <w:family w:val="script"/>
    <w:pitch w:val="variable"/>
    <w:sig w:usb0="00000000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3</Pages>
  <Words>2703</Words>
  <Characters>2778</Characters>
  <Lines>434</Lines>
  <Paragraphs>243</Paragraphs>
  <CharactersWithSpaces>2803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user</cp:lastModifiedBy>
  <cp:revision>2</cp:revision>
  <dcterms:created xsi:type="dcterms:W3CDTF">2024-06-13T09:53:00Z</dcterms:created>
  <dcterms:modified xsi:type="dcterms:W3CDTF">2024-06-14T07:45:09Z</dcterms:modified>
</cp:coreProperties>
</file>